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B1C" w:rsidRPr="00821B1C" w:rsidRDefault="00821B1C" w:rsidP="00821B1C">
      <w:pPr>
        <w:spacing w:line="360" w:lineRule="auto"/>
        <w:jc w:val="center"/>
        <w:rPr>
          <w:rFonts w:ascii="Times New Roman" w:hAnsi="Times New Roman" w:cs="Times New Roman"/>
          <w:b/>
          <w:sz w:val="28"/>
          <w:szCs w:val="24"/>
        </w:rPr>
      </w:pPr>
      <w:r w:rsidRPr="00821B1C">
        <w:rPr>
          <w:rFonts w:ascii="Times New Roman" w:hAnsi="Times New Roman" w:cs="Times New Roman"/>
          <w:b/>
          <w:sz w:val="28"/>
          <w:szCs w:val="24"/>
        </w:rPr>
        <w:t>CUADRO 4</w:t>
      </w:r>
    </w:p>
    <w:p w:rsidR="00821B1C" w:rsidRPr="00821B1C" w:rsidRDefault="00821B1C" w:rsidP="00821B1C">
      <w:pPr>
        <w:spacing w:line="360" w:lineRule="auto"/>
        <w:jc w:val="center"/>
        <w:rPr>
          <w:rFonts w:ascii="Times New Roman" w:hAnsi="Times New Roman" w:cs="Times New Roman"/>
          <w:b/>
          <w:sz w:val="28"/>
          <w:szCs w:val="24"/>
        </w:rPr>
      </w:pPr>
      <w:r w:rsidRPr="00821B1C">
        <w:rPr>
          <w:rFonts w:ascii="Times New Roman" w:hAnsi="Times New Roman" w:cs="Times New Roman"/>
          <w:b/>
          <w:sz w:val="28"/>
          <w:szCs w:val="24"/>
        </w:rPr>
        <w:t>Amenazas para la gestión del cuidado de enfermería en el contexto de la pandemia por COVID-19 en seis países iberoamericanos</w:t>
      </w:r>
    </w:p>
    <w:p w:rsidR="00537119" w:rsidRDefault="00537119">
      <w:bookmarkStart w:id="0" w:name="_GoBack"/>
      <w:bookmarkEnd w:id="0"/>
    </w:p>
    <w:p w:rsidR="00821B1C" w:rsidRDefault="00821B1C"/>
    <w:p w:rsidR="00821B1C" w:rsidRDefault="00821B1C" w:rsidP="00821B1C">
      <w:pPr>
        <w:spacing w:line="360" w:lineRule="auto"/>
        <w:jc w:val="both"/>
        <w:rPr>
          <w:rFonts w:ascii="Times New Roman" w:hAnsi="Times New Roman" w:cs="Times New Roman"/>
          <w:sz w:val="24"/>
          <w:szCs w:val="24"/>
          <w:lang w:val="es-ES"/>
        </w:rPr>
      </w:pPr>
      <w:r w:rsidRPr="00FD3A59">
        <w:rPr>
          <w:rFonts w:ascii="Times New Roman" w:hAnsi="Times New Roman" w:cs="Times New Roman"/>
          <w:sz w:val="24"/>
          <w:szCs w:val="24"/>
          <w:lang w:val="es-ES"/>
        </w:rPr>
        <w:t xml:space="preserve">En </w:t>
      </w:r>
      <w:r>
        <w:rPr>
          <w:rFonts w:ascii="Times New Roman" w:hAnsi="Times New Roman" w:cs="Times New Roman"/>
          <w:sz w:val="24"/>
          <w:szCs w:val="24"/>
          <w:lang w:val="es-ES"/>
        </w:rPr>
        <w:t>el cuadro</w:t>
      </w:r>
      <w:r w:rsidRPr="00FD3A59">
        <w:rPr>
          <w:rFonts w:ascii="Times New Roman" w:hAnsi="Times New Roman" w:cs="Times New Roman"/>
          <w:sz w:val="24"/>
          <w:szCs w:val="24"/>
          <w:lang w:val="es-ES"/>
        </w:rPr>
        <w:t xml:space="preserve"> 4 se muestra que los seis países consultados coinciden en que la motivación es la mayor amenaza para la gestión del cuidado de enfermería en el contexto de la pandemia, seguido en magnitud por el cuidado orientado a los equipos multidisciplinarios, las relaciones interpersonales y el cuidado orientado hacia el mismo profesional de enfermería.</w:t>
      </w:r>
    </w:p>
    <w:p w:rsidR="00821B1C" w:rsidRPr="00FD3A59" w:rsidRDefault="00821B1C" w:rsidP="00821B1C">
      <w:pPr>
        <w:spacing w:line="360" w:lineRule="auto"/>
        <w:jc w:val="both"/>
        <w:rPr>
          <w:rFonts w:ascii="Times New Roman" w:hAnsi="Times New Roman" w:cs="Times New Roman"/>
          <w:sz w:val="24"/>
          <w:szCs w:val="24"/>
          <w:lang w:val="es-ES"/>
        </w:rPr>
      </w:pPr>
    </w:p>
    <w:p w:rsidR="00821B1C" w:rsidRPr="00FD3A59" w:rsidRDefault="00821B1C" w:rsidP="00821B1C">
      <w:pPr>
        <w:spacing w:line="360" w:lineRule="auto"/>
        <w:jc w:val="center"/>
        <w:rPr>
          <w:rFonts w:ascii="Times New Roman" w:hAnsi="Times New Roman" w:cs="Times New Roman"/>
          <w:sz w:val="24"/>
          <w:szCs w:val="24"/>
        </w:rPr>
      </w:pPr>
      <w:r>
        <w:rPr>
          <w:rFonts w:ascii="Times New Roman" w:hAnsi="Times New Roman" w:cs="Times New Roman"/>
          <w:b/>
          <w:sz w:val="24"/>
          <w:szCs w:val="24"/>
        </w:rPr>
        <w:t>Cuadro</w:t>
      </w:r>
      <w:r w:rsidRPr="00FD3A59">
        <w:rPr>
          <w:rFonts w:ascii="Times New Roman" w:hAnsi="Times New Roman" w:cs="Times New Roman"/>
          <w:b/>
          <w:sz w:val="24"/>
          <w:szCs w:val="24"/>
        </w:rPr>
        <w:t xml:space="preserve"> 4-</w:t>
      </w:r>
      <w:r w:rsidRPr="00FD3A59">
        <w:rPr>
          <w:rFonts w:ascii="Times New Roman" w:hAnsi="Times New Roman" w:cs="Times New Roman"/>
          <w:sz w:val="24"/>
          <w:szCs w:val="24"/>
        </w:rPr>
        <w:t xml:space="preserve"> Amenazas para la gestión del cuidado de enfermería en el contexto de la pandemia por </w:t>
      </w:r>
      <w:r>
        <w:rPr>
          <w:rFonts w:ascii="Times New Roman" w:hAnsi="Times New Roman" w:cs="Times New Roman"/>
          <w:sz w:val="24"/>
          <w:szCs w:val="24"/>
        </w:rPr>
        <w:t>COVID-19 en seis países iberoamericanos</w:t>
      </w:r>
    </w:p>
    <w:tbl>
      <w:tblPr>
        <w:tblW w:w="10620" w:type="dxa"/>
        <w:tblInd w:w="-650" w:type="dxa"/>
        <w:tblLayout w:type="fixed"/>
        <w:tblCellMar>
          <w:left w:w="70" w:type="dxa"/>
          <w:right w:w="70" w:type="dxa"/>
        </w:tblCellMar>
        <w:tblLook w:val="04A0" w:firstRow="1" w:lastRow="0" w:firstColumn="1" w:lastColumn="0" w:noHBand="0" w:noVBand="1"/>
      </w:tblPr>
      <w:tblGrid>
        <w:gridCol w:w="1440"/>
        <w:gridCol w:w="1440"/>
        <w:gridCol w:w="1620"/>
        <w:gridCol w:w="1440"/>
        <w:gridCol w:w="1620"/>
        <w:gridCol w:w="1440"/>
        <w:gridCol w:w="1620"/>
      </w:tblGrid>
      <w:tr w:rsidR="00821B1C" w:rsidRPr="00850EB3" w:rsidTr="00A11943">
        <w:trPr>
          <w:trHeight w:val="394"/>
        </w:trPr>
        <w:tc>
          <w:tcPr>
            <w:tcW w:w="1440" w:type="dxa"/>
            <w:tcBorders>
              <w:top w:val="single" w:sz="4" w:space="0" w:color="auto"/>
              <w:left w:val="nil"/>
              <w:bottom w:val="single" w:sz="4" w:space="0" w:color="auto"/>
              <w:right w:val="nil"/>
            </w:tcBorders>
            <w:shd w:val="clear" w:color="auto" w:fill="auto"/>
            <w:vAlign w:val="center"/>
          </w:tcPr>
          <w:p w:rsidR="00821B1C" w:rsidRPr="00850EB3" w:rsidRDefault="00821B1C" w:rsidP="00A11943">
            <w:pPr>
              <w:spacing w:line="240" w:lineRule="auto"/>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Elementos de la gestión del cuidado</w:t>
            </w:r>
          </w:p>
        </w:tc>
        <w:tc>
          <w:tcPr>
            <w:tcW w:w="1440" w:type="dxa"/>
            <w:tcBorders>
              <w:top w:val="single" w:sz="4" w:space="0" w:color="auto"/>
              <w:left w:val="nil"/>
              <w:bottom w:val="single" w:sz="4" w:space="0" w:color="auto"/>
              <w:right w:val="nil"/>
            </w:tcBorders>
            <w:shd w:val="clear" w:color="auto" w:fill="auto"/>
            <w:vAlign w:val="center"/>
          </w:tcPr>
          <w:p w:rsidR="00821B1C" w:rsidRPr="00850EB3" w:rsidRDefault="00821B1C" w:rsidP="00A11943">
            <w:pPr>
              <w:spacing w:line="240" w:lineRule="auto"/>
              <w:jc w:val="center"/>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Perú</w:t>
            </w:r>
          </w:p>
        </w:tc>
        <w:tc>
          <w:tcPr>
            <w:tcW w:w="1620" w:type="dxa"/>
            <w:tcBorders>
              <w:top w:val="single" w:sz="4" w:space="0" w:color="auto"/>
              <w:left w:val="nil"/>
              <w:bottom w:val="single" w:sz="4" w:space="0" w:color="auto"/>
              <w:right w:val="nil"/>
            </w:tcBorders>
            <w:shd w:val="clear" w:color="auto" w:fill="auto"/>
            <w:vAlign w:val="center"/>
          </w:tcPr>
          <w:p w:rsidR="00821B1C" w:rsidRPr="00850EB3" w:rsidRDefault="00821B1C" w:rsidP="00A11943">
            <w:pPr>
              <w:spacing w:line="240" w:lineRule="auto"/>
              <w:jc w:val="center"/>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Brasil</w:t>
            </w:r>
          </w:p>
        </w:tc>
        <w:tc>
          <w:tcPr>
            <w:tcW w:w="1440" w:type="dxa"/>
            <w:tcBorders>
              <w:top w:val="single" w:sz="4" w:space="0" w:color="auto"/>
              <w:left w:val="nil"/>
              <w:bottom w:val="single" w:sz="4" w:space="0" w:color="auto"/>
              <w:right w:val="nil"/>
            </w:tcBorders>
            <w:shd w:val="clear" w:color="000000" w:fill="FFFFFF"/>
            <w:vAlign w:val="center"/>
          </w:tcPr>
          <w:p w:rsidR="00821B1C" w:rsidRPr="00850EB3" w:rsidRDefault="00821B1C" w:rsidP="00A11943">
            <w:pPr>
              <w:spacing w:line="240" w:lineRule="auto"/>
              <w:jc w:val="center"/>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Chile</w:t>
            </w:r>
          </w:p>
        </w:tc>
        <w:tc>
          <w:tcPr>
            <w:tcW w:w="1620" w:type="dxa"/>
            <w:tcBorders>
              <w:top w:val="single" w:sz="4" w:space="0" w:color="auto"/>
              <w:left w:val="nil"/>
              <w:bottom w:val="single" w:sz="4" w:space="0" w:color="auto"/>
              <w:right w:val="nil"/>
            </w:tcBorders>
            <w:shd w:val="clear" w:color="000000" w:fill="FFFFFF"/>
            <w:vAlign w:val="center"/>
          </w:tcPr>
          <w:p w:rsidR="00821B1C" w:rsidRPr="00850EB3" w:rsidRDefault="00821B1C" w:rsidP="00A11943">
            <w:pPr>
              <w:spacing w:line="240" w:lineRule="auto"/>
              <w:jc w:val="center"/>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Argentina</w:t>
            </w:r>
          </w:p>
        </w:tc>
        <w:tc>
          <w:tcPr>
            <w:tcW w:w="1440" w:type="dxa"/>
            <w:tcBorders>
              <w:top w:val="single" w:sz="4" w:space="0" w:color="auto"/>
              <w:left w:val="nil"/>
              <w:bottom w:val="single" w:sz="4" w:space="0" w:color="auto"/>
              <w:right w:val="nil"/>
            </w:tcBorders>
            <w:shd w:val="clear" w:color="000000" w:fill="FFFFFF"/>
            <w:vAlign w:val="center"/>
          </w:tcPr>
          <w:p w:rsidR="00821B1C" w:rsidRPr="00850EB3" w:rsidRDefault="00821B1C" w:rsidP="00A11943">
            <w:pPr>
              <w:spacing w:line="240" w:lineRule="auto"/>
              <w:jc w:val="center"/>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España</w:t>
            </w:r>
          </w:p>
        </w:tc>
        <w:tc>
          <w:tcPr>
            <w:tcW w:w="1620" w:type="dxa"/>
            <w:tcBorders>
              <w:top w:val="single" w:sz="4" w:space="0" w:color="auto"/>
              <w:left w:val="nil"/>
              <w:bottom w:val="single" w:sz="4" w:space="0" w:color="auto"/>
              <w:right w:val="nil"/>
            </w:tcBorders>
            <w:shd w:val="clear" w:color="000000" w:fill="FFFFFF"/>
            <w:vAlign w:val="center"/>
          </w:tcPr>
          <w:p w:rsidR="00821B1C" w:rsidRPr="00850EB3" w:rsidRDefault="00821B1C" w:rsidP="00A11943">
            <w:pPr>
              <w:spacing w:line="240" w:lineRule="auto"/>
              <w:jc w:val="center"/>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 xml:space="preserve">El </w:t>
            </w:r>
            <w:r>
              <w:rPr>
                <w:rFonts w:ascii="Times New Roman" w:eastAsia="Times New Roman" w:hAnsi="Times New Roman" w:cs="Times New Roman"/>
                <w:b/>
                <w:bCs/>
                <w:color w:val="000000"/>
                <w:u w:val="single"/>
                <w:lang w:val="es-PE"/>
              </w:rPr>
              <w:t>S</w:t>
            </w:r>
            <w:r w:rsidRPr="00850EB3">
              <w:rPr>
                <w:rFonts w:ascii="Times New Roman" w:eastAsia="Times New Roman" w:hAnsi="Times New Roman" w:cs="Times New Roman"/>
                <w:b/>
                <w:bCs/>
                <w:color w:val="000000"/>
                <w:lang w:val="es-PE"/>
              </w:rPr>
              <w:t>alvador</w:t>
            </w:r>
          </w:p>
        </w:tc>
      </w:tr>
      <w:tr w:rsidR="00821B1C" w:rsidRPr="00850EB3" w:rsidTr="00A11943">
        <w:trPr>
          <w:trHeight w:val="1398"/>
        </w:trPr>
        <w:tc>
          <w:tcPr>
            <w:tcW w:w="1440" w:type="dxa"/>
            <w:tcBorders>
              <w:top w:val="nil"/>
              <w:left w:val="nil"/>
              <w:bottom w:val="nil"/>
              <w:right w:val="nil"/>
            </w:tcBorders>
            <w:shd w:val="clear" w:color="auto" w:fill="auto"/>
            <w:vAlign w:val="center"/>
          </w:tcPr>
          <w:p w:rsidR="00821B1C" w:rsidRPr="00850EB3" w:rsidRDefault="00821B1C" w:rsidP="00A11943">
            <w:pPr>
              <w:spacing w:line="240" w:lineRule="auto"/>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Motivación</w:t>
            </w:r>
          </w:p>
        </w:tc>
        <w:tc>
          <w:tcPr>
            <w:tcW w:w="1440" w:type="dxa"/>
            <w:tcBorders>
              <w:top w:val="nil"/>
              <w:left w:val="nil"/>
              <w:bottom w:val="nil"/>
              <w:right w:val="nil"/>
            </w:tcBorders>
            <w:shd w:val="clear" w:color="000000" w:fill="FFF2CC"/>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La falta de provisión de EPP, bajas remuneraciones  y restricción de beneficios sociales que amenazan la motivación extrínseca.</w:t>
            </w:r>
          </w:p>
        </w:tc>
        <w:tc>
          <w:tcPr>
            <w:tcW w:w="162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Existe una motivación que es exclusiva de cada profesional de enfermería, pero los escenarios no siempre son favorables.</w:t>
            </w:r>
          </w:p>
        </w:tc>
        <w:tc>
          <w:tcPr>
            <w:tcW w:w="144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Existe una motivación que es exclusiva de cada profesional de enfermería, pero los escenarios no siempre son favorables.</w:t>
            </w:r>
          </w:p>
        </w:tc>
        <w:tc>
          <w:tcPr>
            <w:tcW w:w="162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En el orden social: ausencia de ambiente protector, participativo, seguro, escucha activa, recursos humanos, provisión de EPP, sueldos e incentivos; representan una amenaza.</w:t>
            </w:r>
          </w:p>
        </w:tc>
        <w:tc>
          <w:tcPr>
            <w:tcW w:w="144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La falta de EPP en algunos momentos críticos, ha situado a España con el mayor número de profesionales infectados. En algunas regiones los recortes presupuestarios suponen una amenaza.</w:t>
            </w:r>
          </w:p>
        </w:tc>
        <w:tc>
          <w:tcPr>
            <w:tcW w:w="1620" w:type="dxa"/>
            <w:tcBorders>
              <w:top w:val="nil"/>
              <w:left w:val="nil"/>
              <w:bottom w:val="nil"/>
              <w:right w:val="nil"/>
            </w:tcBorders>
            <w:shd w:val="clear" w:color="000000" w:fill="FFF2CC"/>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Elementos extrínsecos como un ambiente seguro, escucha activa, recursos humanos, provisión de EPP, sueldos e incentivos; representan una amenaza.</w:t>
            </w:r>
          </w:p>
        </w:tc>
      </w:tr>
      <w:tr w:rsidR="00821B1C" w:rsidRPr="00850EB3" w:rsidTr="00A11943">
        <w:trPr>
          <w:trHeight w:val="1165"/>
        </w:trPr>
        <w:tc>
          <w:tcPr>
            <w:tcW w:w="1440" w:type="dxa"/>
            <w:tcBorders>
              <w:top w:val="nil"/>
              <w:left w:val="nil"/>
              <w:bottom w:val="nil"/>
              <w:right w:val="nil"/>
            </w:tcBorders>
            <w:shd w:val="clear" w:color="auto" w:fill="auto"/>
            <w:vAlign w:val="center"/>
          </w:tcPr>
          <w:p w:rsidR="00821B1C" w:rsidRPr="00850EB3" w:rsidRDefault="00821B1C" w:rsidP="00A11943">
            <w:pPr>
              <w:spacing w:line="240" w:lineRule="auto"/>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Cuidado orientado a los equipos multidisciplinarios</w:t>
            </w:r>
          </w:p>
        </w:tc>
        <w:tc>
          <w:tcPr>
            <w:tcW w:w="1440" w:type="dxa"/>
            <w:tcBorders>
              <w:top w:val="nil"/>
              <w:left w:val="nil"/>
              <w:bottom w:val="nil"/>
              <w:right w:val="nil"/>
            </w:tcBorders>
            <w:shd w:val="clear" w:color="000000" w:fill="FFF2CC"/>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Limitado trabajo interprofesional en el cuidado del paciente con COVID-19 por deficiente número de especialistas.</w:t>
            </w:r>
          </w:p>
        </w:tc>
        <w:tc>
          <w:tcPr>
            <w:tcW w:w="1620" w:type="dxa"/>
            <w:tcBorders>
              <w:top w:val="nil"/>
              <w:left w:val="nil"/>
              <w:bottom w:val="nil"/>
              <w:right w:val="nil"/>
            </w:tcBorders>
            <w:shd w:val="clear" w:color="000000" w:fill="E2EFD9"/>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Enfoque multidisciplinario con compromiso, dedicación, integración y unificación del equipo. Existen protocolos y canales web para interactuar entre ellos.</w:t>
            </w:r>
          </w:p>
        </w:tc>
        <w:tc>
          <w:tcPr>
            <w:tcW w:w="144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enfoque multidisciplinario presenta varias carencias, como falta de capacitación y funcionarios infectados que son r8eemplazos por otros con poca experiencia.</w:t>
            </w:r>
          </w:p>
        </w:tc>
        <w:tc>
          <w:tcPr>
            <w:tcW w:w="162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enfoque multidisciplinario en el cuidado del paciente con COVID-19 es débil debido a carencia de recurso humano especializado.</w:t>
            </w:r>
          </w:p>
        </w:tc>
        <w:tc>
          <w:tcPr>
            <w:tcW w:w="144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Existe enfoque multidisciplinario, a pesar de la carencia de especialistas</w:t>
            </w:r>
          </w:p>
        </w:tc>
        <w:tc>
          <w:tcPr>
            <w:tcW w:w="1620" w:type="dxa"/>
            <w:tcBorders>
              <w:top w:val="nil"/>
              <w:left w:val="nil"/>
              <w:bottom w:val="nil"/>
              <w:right w:val="nil"/>
            </w:tcBorders>
            <w:shd w:val="clear" w:color="000000" w:fill="FFF2CC"/>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enfoque multidisciplinario presenta varias carencias como falta de capacitación y especialistas infectados, reemplazados por otros con poca experiencia.</w:t>
            </w:r>
          </w:p>
        </w:tc>
      </w:tr>
      <w:tr w:rsidR="00821B1C" w:rsidRPr="00850EB3" w:rsidTr="00A11943">
        <w:trPr>
          <w:trHeight w:val="1201"/>
        </w:trPr>
        <w:tc>
          <w:tcPr>
            <w:tcW w:w="1440" w:type="dxa"/>
            <w:tcBorders>
              <w:top w:val="nil"/>
              <w:left w:val="nil"/>
              <w:bottom w:val="nil"/>
              <w:right w:val="nil"/>
            </w:tcBorders>
            <w:shd w:val="clear" w:color="auto" w:fill="auto"/>
            <w:vAlign w:val="center"/>
          </w:tcPr>
          <w:p w:rsidR="00821B1C" w:rsidRPr="00850EB3" w:rsidRDefault="00821B1C" w:rsidP="00A11943">
            <w:pPr>
              <w:spacing w:line="240" w:lineRule="auto"/>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lastRenderedPageBreak/>
              <w:t>Relaciones interpersonales</w:t>
            </w:r>
          </w:p>
        </w:tc>
        <w:tc>
          <w:tcPr>
            <w:tcW w:w="1440" w:type="dxa"/>
            <w:tcBorders>
              <w:top w:val="nil"/>
              <w:left w:val="nil"/>
              <w:bottom w:val="nil"/>
              <w:right w:val="nil"/>
            </w:tcBorders>
            <w:shd w:val="clear" w:color="000000" w:fill="FFF2CC"/>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Relaciones interpersonales débiles entre los mismos profesionales y con los usuarios, debido al distanciamiento social.</w:t>
            </w:r>
          </w:p>
        </w:tc>
        <w:tc>
          <w:tcPr>
            <w:tcW w:w="162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distanciamiento social causa dificultades en las relaciones familiares y sociales de los enfermeros. Algunos viven en hoteles para evitar contaminar a sus familiares.</w:t>
            </w:r>
          </w:p>
        </w:tc>
        <w:tc>
          <w:tcPr>
            <w:tcW w:w="144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distanciamiento social provoca dificultades en las relaciones, tanto familiares como el entorno social propio de cada enfermero.</w:t>
            </w:r>
          </w:p>
        </w:tc>
        <w:tc>
          <w:tcPr>
            <w:tcW w:w="162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distanciamiento social afecta las relaciones interpersonales estrechas entre profesionales y con los usuarios</w:t>
            </w:r>
          </w:p>
        </w:tc>
        <w:tc>
          <w:tcPr>
            <w:tcW w:w="1440" w:type="dxa"/>
            <w:tcBorders>
              <w:top w:val="nil"/>
              <w:left w:val="nil"/>
              <w:bottom w:val="nil"/>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distanciamiento social es una barrera importante que dificulta la relación enfermera/usuario. Aun así enfermería ha buscado formas de humanizar el cuidado.</w:t>
            </w:r>
          </w:p>
        </w:tc>
        <w:tc>
          <w:tcPr>
            <w:tcW w:w="1620" w:type="dxa"/>
            <w:tcBorders>
              <w:top w:val="nil"/>
              <w:left w:val="nil"/>
              <w:bottom w:val="nil"/>
              <w:right w:val="nil"/>
            </w:tcBorders>
            <w:shd w:val="clear" w:color="000000" w:fill="DDEBF7"/>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distanciamiento social dificulta la relación enfermero paciente. Aun así, el profesional de enfermería busca la manera de humanizar éste distanciamiento.</w:t>
            </w:r>
          </w:p>
        </w:tc>
      </w:tr>
      <w:tr w:rsidR="00821B1C" w:rsidRPr="00850EB3" w:rsidTr="00A11943">
        <w:trPr>
          <w:trHeight w:val="1201"/>
        </w:trPr>
        <w:tc>
          <w:tcPr>
            <w:tcW w:w="1440" w:type="dxa"/>
            <w:tcBorders>
              <w:top w:val="nil"/>
              <w:left w:val="nil"/>
              <w:bottom w:val="single" w:sz="4" w:space="0" w:color="auto"/>
              <w:right w:val="nil"/>
            </w:tcBorders>
            <w:shd w:val="clear" w:color="auto" w:fill="auto"/>
            <w:vAlign w:val="center"/>
          </w:tcPr>
          <w:p w:rsidR="00821B1C" w:rsidRPr="00850EB3" w:rsidRDefault="00821B1C" w:rsidP="00A11943">
            <w:pPr>
              <w:spacing w:line="240" w:lineRule="auto"/>
              <w:rPr>
                <w:rFonts w:ascii="Times New Roman" w:eastAsia="Times New Roman" w:hAnsi="Times New Roman" w:cs="Times New Roman"/>
                <w:b/>
                <w:bCs/>
                <w:color w:val="000000"/>
                <w:lang w:val="es-PE"/>
              </w:rPr>
            </w:pPr>
            <w:r w:rsidRPr="00850EB3">
              <w:rPr>
                <w:rFonts w:ascii="Times New Roman" w:eastAsia="Times New Roman" w:hAnsi="Times New Roman" w:cs="Times New Roman"/>
                <w:b/>
                <w:bCs/>
                <w:color w:val="000000"/>
                <w:lang w:val="es-PE"/>
              </w:rPr>
              <w:t>Cuidado orientado hacia el mismo profesional de enfermería</w:t>
            </w:r>
          </w:p>
        </w:tc>
        <w:tc>
          <w:tcPr>
            <w:tcW w:w="1440" w:type="dxa"/>
            <w:tcBorders>
              <w:top w:val="nil"/>
              <w:left w:val="nil"/>
              <w:bottom w:val="single" w:sz="4" w:space="0" w:color="auto"/>
              <w:right w:val="nil"/>
            </w:tcBorders>
            <w:shd w:val="clear" w:color="000000" w:fill="FCE4D6"/>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autocuidado del enfermero se ha visto vulnerado por la sobrecarga laboral, condición socioeconómica deficitaria y estrés generados por una política de gestión no acorde a las necesidades de enfermería.</w:t>
            </w:r>
          </w:p>
        </w:tc>
        <w:tc>
          <w:tcPr>
            <w:tcW w:w="1620" w:type="dxa"/>
            <w:tcBorders>
              <w:top w:val="nil"/>
              <w:left w:val="nil"/>
              <w:bottom w:val="single" w:sz="4" w:space="0" w:color="auto"/>
              <w:right w:val="nil"/>
            </w:tcBorders>
            <w:shd w:val="clear" w:color="000000" w:fill="FCE4D6"/>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cuidado personal se ve amenazado por la sobrecarga de trabajo, los problemas financieros, la falta de EPP, las condiciones de trabajo inadecuado y el estrés.</w:t>
            </w:r>
          </w:p>
        </w:tc>
        <w:tc>
          <w:tcPr>
            <w:tcW w:w="1440" w:type="dxa"/>
            <w:tcBorders>
              <w:top w:val="nil"/>
              <w:left w:val="nil"/>
              <w:bottom w:val="single" w:sz="4" w:space="0" w:color="auto"/>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El autocuidado se ha visto vulnerado por la sobrecarga laboral, problemas económicos y estrés, contagio de familias por el enfermero que realiza sus labores en el punto cero.</w:t>
            </w:r>
          </w:p>
        </w:tc>
        <w:tc>
          <w:tcPr>
            <w:tcW w:w="1620" w:type="dxa"/>
            <w:tcBorders>
              <w:top w:val="nil"/>
              <w:left w:val="nil"/>
              <w:bottom w:val="single" w:sz="4" w:space="0" w:color="auto"/>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Autocuidado amenazado por la sobrecarga laboral, problemas económicos y estrés. Falta de implementación de protocolos de salud mental en el sector público y privado.</w:t>
            </w:r>
          </w:p>
        </w:tc>
        <w:tc>
          <w:tcPr>
            <w:tcW w:w="1440" w:type="dxa"/>
            <w:tcBorders>
              <w:top w:val="nil"/>
              <w:left w:val="nil"/>
              <w:bottom w:val="single" w:sz="4" w:space="0" w:color="auto"/>
              <w:right w:val="nil"/>
            </w:tcBorders>
            <w:shd w:val="clear" w:color="000000" w:fill="FFF2CC"/>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Enfermería es la disciplina que más ha acusado la sobrecarga laboral durante la crisis, con ampliación de horas y atención más directa al paciente utilizando EPP por más tiempo.</w:t>
            </w:r>
          </w:p>
        </w:tc>
        <w:tc>
          <w:tcPr>
            <w:tcW w:w="1620" w:type="dxa"/>
            <w:tcBorders>
              <w:top w:val="nil"/>
              <w:left w:val="nil"/>
              <w:bottom w:val="single" w:sz="4" w:space="0" w:color="auto"/>
              <w:right w:val="nil"/>
            </w:tcBorders>
            <w:shd w:val="clear" w:color="000000" w:fill="FEF2CB"/>
            <w:vAlign w:val="center"/>
          </w:tcPr>
          <w:p w:rsidR="00821B1C" w:rsidRPr="00850EB3" w:rsidRDefault="00821B1C" w:rsidP="00A11943">
            <w:pPr>
              <w:spacing w:line="240" w:lineRule="auto"/>
              <w:rPr>
                <w:rFonts w:ascii="Times New Roman" w:eastAsia="Times New Roman" w:hAnsi="Times New Roman" w:cs="Times New Roman"/>
                <w:color w:val="000000"/>
                <w:lang w:val="es-PE"/>
              </w:rPr>
            </w:pPr>
            <w:r w:rsidRPr="00850EB3">
              <w:rPr>
                <w:rFonts w:ascii="Times New Roman" w:eastAsia="Times New Roman" w:hAnsi="Times New Roman" w:cs="Times New Roman"/>
                <w:color w:val="000000"/>
                <w:lang w:val="es-PE"/>
              </w:rPr>
              <w:t>Autocuidado amenazado por sobrecarga laboral, problemas económicos y estrés. No existen protocolos de salud mental ni espacios adecuados para el descanso del enfermero.</w:t>
            </w:r>
          </w:p>
        </w:tc>
      </w:tr>
    </w:tbl>
    <w:p w:rsidR="00821B1C" w:rsidRPr="00FD3A59" w:rsidRDefault="00821B1C" w:rsidP="00821B1C">
      <w:pPr>
        <w:spacing w:line="360" w:lineRule="auto"/>
        <w:rPr>
          <w:rFonts w:ascii="Times New Roman" w:hAnsi="Times New Roman" w:cs="Times New Roman"/>
          <w:vanish/>
          <w:sz w:val="24"/>
          <w:szCs w:val="24"/>
        </w:rPr>
      </w:pPr>
    </w:p>
    <w:tbl>
      <w:tblPr>
        <w:tblpPr w:leftFromText="141" w:rightFromText="141" w:vertAnchor="text" w:horzAnchor="margin" w:tblpXSpec="center" w:tblpY="141"/>
        <w:tblW w:w="8141" w:type="dxa"/>
        <w:tblCellMar>
          <w:left w:w="70" w:type="dxa"/>
          <w:right w:w="70" w:type="dxa"/>
        </w:tblCellMar>
        <w:tblLook w:val="04A0" w:firstRow="1" w:lastRow="0" w:firstColumn="1" w:lastColumn="0" w:noHBand="0" w:noVBand="1"/>
      </w:tblPr>
      <w:tblGrid>
        <w:gridCol w:w="251"/>
        <w:gridCol w:w="1548"/>
        <w:gridCol w:w="268"/>
        <w:gridCol w:w="287"/>
        <w:gridCol w:w="1988"/>
        <w:gridCol w:w="324"/>
        <w:gridCol w:w="268"/>
        <w:gridCol w:w="1596"/>
        <w:gridCol w:w="305"/>
        <w:gridCol w:w="305"/>
        <w:gridCol w:w="1364"/>
      </w:tblGrid>
      <w:tr w:rsidR="00821B1C" w:rsidRPr="00FD3A59" w:rsidTr="00A11943">
        <w:trPr>
          <w:trHeight w:val="345"/>
        </w:trPr>
        <w:tc>
          <w:tcPr>
            <w:tcW w:w="260" w:type="dxa"/>
            <w:tcBorders>
              <w:top w:val="nil"/>
              <w:left w:val="nil"/>
              <w:bottom w:val="nil"/>
              <w:right w:val="nil"/>
            </w:tcBorders>
            <w:shd w:val="clear" w:color="000000" w:fill="E2EFDA"/>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r w:rsidRPr="00FD3A59">
              <w:rPr>
                <w:rFonts w:ascii="Times New Roman" w:eastAsia="Times New Roman" w:hAnsi="Times New Roman" w:cs="Times New Roman"/>
                <w:color w:val="000000"/>
                <w:sz w:val="24"/>
                <w:szCs w:val="24"/>
                <w:lang w:val="es-PE"/>
              </w:rPr>
              <w:t> </w:t>
            </w:r>
          </w:p>
        </w:tc>
        <w:tc>
          <w:tcPr>
            <w:tcW w:w="1452" w:type="dxa"/>
            <w:tcBorders>
              <w:top w:val="nil"/>
              <w:left w:val="nil"/>
              <w:bottom w:val="nil"/>
              <w:right w:val="nil"/>
            </w:tcBorders>
            <w:shd w:val="clear" w:color="auto" w:fill="auto"/>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r w:rsidRPr="00FD3A59">
              <w:rPr>
                <w:rFonts w:ascii="Times New Roman" w:eastAsia="Times New Roman" w:hAnsi="Times New Roman" w:cs="Times New Roman"/>
                <w:color w:val="000000"/>
                <w:sz w:val="24"/>
                <w:szCs w:val="24"/>
                <w:lang w:val="es-PE"/>
              </w:rPr>
              <w:t>FORTALEZAS</w:t>
            </w:r>
          </w:p>
        </w:tc>
        <w:tc>
          <w:tcPr>
            <w:tcW w:w="280" w:type="dxa"/>
            <w:tcBorders>
              <w:top w:val="nil"/>
              <w:left w:val="nil"/>
              <w:bottom w:val="nil"/>
              <w:right w:val="nil"/>
            </w:tcBorders>
            <w:shd w:val="clear" w:color="auto" w:fill="auto"/>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p>
        </w:tc>
        <w:tc>
          <w:tcPr>
            <w:tcW w:w="300" w:type="dxa"/>
            <w:tcBorders>
              <w:top w:val="nil"/>
              <w:left w:val="nil"/>
              <w:bottom w:val="nil"/>
              <w:right w:val="nil"/>
            </w:tcBorders>
            <w:shd w:val="clear" w:color="000000" w:fill="DDEBF7"/>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r w:rsidRPr="00FD3A59">
              <w:rPr>
                <w:rFonts w:ascii="Times New Roman" w:eastAsia="Times New Roman" w:hAnsi="Times New Roman" w:cs="Times New Roman"/>
                <w:color w:val="000000"/>
                <w:sz w:val="24"/>
                <w:szCs w:val="24"/>
                <w:lang w:val="es-PE"/>
              </w:rPr>
              <w:t> </w:t>
            </w:r>
          </w:p>
        </w:tc>
        <w:tc>
          <w:tcPr>
            <w:tcW w:w="1885" w:type="dxa"/>
            <w:tcBorders>
              <w:top w:val="nil"/>
              <w:left w:val="nil"/>
              <w:bottom w:val="nil"/>
              <w:right w:val="nil"/>
            </w:tcBorders>
            <w:shd w:val="clear" w:color="auto" w:fill="auto"/>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r w:rsidRPr="00FD3A59">
              <w:rPr>
                <w:rFonts w:ascii="Times New Roman" w:eastAsia="Times New Roman" w:hAnsi="Times New Roman" w:cs="Times New Roman"/>
                <w:color w:val="000000"/>
                <w:sz w:val="24"/>
                <w:szCs w:val="24"/>
                <w:lang w:val="es-PE"/>
              </w:rPr>
              <w:t>OPORTUNIDADES</w:t>
            </w:r>
          </w:p>
        </w:tc>
        <w:tc>
          <w:tcPr>
            <w:tcW w:w="340" w:type="dxa"/>
            <w:tcBorders>
              <w:top w:val="nil"/>
              <w:left w:val="nil"/>
              <w:bottom w:val="nil"/>
              <w:right w:val="nil"/>
            </w:tcBorders>
            <w:shd w:val="clear" w:color="auto" w:fill="auto"/>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p>
        </w:tc>
        <w:tc>
          <w:tcPr>
            <w:tcW w:w="280" w:type="dxa"/>
            <w:tcBorders>
              <w:top w:val="nil"/>
              <w:left w:val="nil"/>
              <w:bottom w:val="nil"/>
              <w:right w:val="nil"/>
            </w:tcBorders>
            <w:shd w:val="clear" w:color="000000" w:fill="FCE4D6"/>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r w:rsidRPr="00FD3A59">
              <w:rPr>
                <w:rFonts w:ascii="Times New Roman" w:eastAsia="Times New Roman" w:hAnsi="Times New Roman" w:cs="Times New Roman"/>
                <w:color w:val="000000"/>
                <w:sz w:val="24"/>
                <w:szCs w:val="24"/>
                <w:lang w:val="es-PE"/>
              </w:rPr>
              <w:t> </w:t>
            </w:r>
          </w:p>
        </w:tc>
        <w:tc>
          <w:tcPr>
            <w:tcW w:w="1463" w:type="dxa"/>
            <w:tcBorders>
              <w:top w:val="nil"/>
              <w:left w:val="nil"/>
              <w:bottom w:val="nil"/>
              <w:right w:val="nil"/>
            </w:tcBorders>
            <w:shd w:val="clear" w:color="auto" w:fill="auto"/>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r w:rsidRPr="00FD3A59">
              <w:rPr>
                <w:rFonts w:ascii="Times New Roman" w:eastAsia="Times New Roman" w:hAnsi="Times New Roman" w:cs="Times New Roman"/>
                <w:color w:val="000000"/>
                <w:sz w:val="24"/>
                <w:szCs w:val="24"/>
                <w:lang w:val="es-PE"/>
              </w:rPr>
              <w:t>DEBILIDADES</w:t>
            </w:r>
          </w:p>
        </w:tc>
        <w:tc>
          <w:tcPr>
            <w:tcW w:w="320" w:type="dxa"/>
            <w:tcBorders>
              <w:top w:val="nil"/>
              <w:left w:val="nil"/>
              <w:bottom w:val="nil"/>
              <w:right w:val="nil"/>
            </w:tcBorders>
            <w:shd w:val="clear" w:color="auto" w:fill="auto"/>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p>
        </w:tc>
        <w:tc>
          <w:tcPr>
            <w:tcW w:w="320" w:type="dxa"/>
            <w:tcBorders>
              <w:top w:val="nil"/>
              <w:left w:val="nil"/>
              <w:bottom w:val="nil"/>
              <w:right w:val="nil"/>
            </w:tcBorders>
            <w:shd w:val="clear" w:color="000000" w:fill="FFF2CC"/>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r w:rsidRPr="00FD3A59">
              <w:rPr>
                <w:rFonts w:ascii="Times New Roman" w:eastAsia="Times New Roman" w:hAnsi="Times New Roman" w:cs="Times New Roman"/>
                <w:color w:val="000000"/>
                <w:sz w:val="24"/>
                <w:szCs w:val="24"/>
                <w:lang w:val="es-PE"/>
              </w:rPr>
              <w:t> </w:t>
            </w:r>
          </w:p>
        </w:tc>
        <w:tc>
          <w:tcPr>
            <w:tcW w:w="1241" w:type="dxa"/>
            <w:tcBorders>
              <w:top w:val="nil"/>
              <w:left w:val="nil"/>
              <w:bottom w:val="nil"/>
              <w:right w:val="nil"/>
            </w:tcBorders>
            <w:shd w:val="clear" w:color="auto" w:fill="auto"/>
            <w:noWrap/>
            <w:vAlign w:val="bottom"/>
          </w:tcPr>
          <w:p w:rsidR="00821B1C" w:rsidRPr="00FD3A59" w:rsidRDefault="00821B1C" w:rsidP="00A11943">
            <w:pPr>
              <w:spacing w:line="360" w:lineRule="auto"/>
              <w:rPr>
                <w:rFonts w:ascii="Times New Roman" w:eastAsia="Times New Roman" w:hAnsi="Times New Roman" w:cs="Times New Roman"/>
                <w:color w:val="000000"/>
                <w:sz w:val="24"/>
                <w:szCs w:val="24"/>
                <w:lang w:val="es-PE"/>
              </w:rPr>
            </w:pPr>
            <w:r w:rsidRPr="00FD3A59">
              <w:rPr>
                <w:rFonts w:ascii="Times New Roman" w:eastAsia="Times New Roman" w:hAnsi="Times New Roman" w:cs="Times New Roman"/>
                <w:color w:val="000000"/>
                <w:sz w:val="24"/>
                <w:szCs w:val="24"/>
                <w:lang w:val="es-PE"/>
              </w:rPr>
              <w:t>AMENAZAS</w:t>
            </w:r>
          </w:p>
        </w:tc>
      </w:tr>
    </w:tbl>
    <w:p w:rsidR="00821B1C" w:rsidRPr="00FD3A59" w:rsidRDefault="00821B1C" w:rsidP="00821B1C">
      <w:pPr>
        <w:spacing w:line="360" w:lineRule="auto"/>
        <w:jc w:val="both"/>
        <w:rPr>
          <w:rFonts w:ascii="Times New Roman" w:hAnsi="Times New Roman" w:cs="Times New Roman"/>
          <w:sz w:val="24"/>
          <w:szCs w:val="24"/>
          <w:lang w:val="es-ES"/>
        </w:rPr>
      </w:pPr>
    </w:p>
    <w:p w:rsidR="00821B1C" w:rsidRDefault="00821B1C"/>
    <w:sectPr w:rsidR="00821B1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1C"/>
    <w:rsid w:val="00537119"/>
    <w:rsid w:val="00821B1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7A4E5A-738F-4BD5-858B-190B5661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B1C"/>
    <w:pPr>
      <w:spacing w:after="0" w:line="276" w:lineRule="auto"/>
    </w:pPr>
    <w:rPr>
      <w:rFonts w:ascii="Arial" w:eastAsia="Arial" w:hAnsi="Arial" w:cs="Arial"/>
      <w:lang w:val="es"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3809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c:creator>
  <cp:keywords/>
  <dc:description/>
  <cp:lastModifiedBy>us</cp:lastModifiedBy>
  <cp:revision>1</cp:revision>
  <dcterms:created xsi:type="dcterms:W3CDTF">2020-08-06T05:47:00Z</dcterms:created>
  <dcterms:modified xsi:type="dcterms:W3CDTF">2020-08-06T05:48:00Z</dcterms:modified>
</cp:coreProperties>
</file>